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2B65C6" w:rsidRPr="00404AAE" w:rsidRDefault="00404AAE" w:rsidP="00404AAE">
      <w:pPr>
        <w:spacing w:line="480" w:lineRule="auto"/>
        <w:jc w:val="center"/>
        <w:rPr>
          <w:rFonts w:ascii="Times New Roman" w:hAnsi="Times New Roman" w:cs="Times New Roman"/>
          <w:sz w:val="24"/>
          <w:szCs w:val="24"/>
        </w:rPr>
      </w:pPr>
      <w:r w:rsidRPr="00404AAE">
        <w:rPr>
          <w:rFonts w:ascii="Times New Roman" w:hAnsi="Times New Roman" w:cs="Times New Roman"/>
          <w:sz w:val="24"/>
          <w:szCs w:val="24"/>
        </w:rPr>
        <w:t>Implementing Changes in a Nursing Unit</w:t>
      </w:r>
    </w:p>
    <w:p w:rsidR="00404AAE" w:rsidRPr="00404AAE" w:rsidRDefault="00404AAE" w:rsidP="00404AAE">
      <w:pPr>
        <w:spacing w:line="480" w:lineRule="auto"/>
        <w:jc w:val="center"/>
        <w:rPr>
          <w:rFonts w:ascii="Times New Roman" w:hAnsi="Times New Roman" w:cs="Times New Roman"/>
          <w:sz w:val="24"/>
          <w:szCs w:val="24"/>
        </w:rPr>
      </w:pPr>
      <w:r w:rsidRPr="00404AAE">
        <w:rPr>
          <w:rFonts w:ascii="Times New Roman" w:hAnsi="Times New Roman" w:cs="Times New Roman"/>
          <w:sz w:val="24"/>
          <w:szCs w:val="24"/>
        </w:rPr>
        <w:t>Name</w:t>
      </w:r>
    </w:p>
    <w:p w:rsidR="00404AAE" w:rsidRPr="00404AAE" w:rsidRDefault="00404AAE" w:rsidP="00404AAE">
      <w:pPr>
        <w:spacing w:line="480" w:lineRule="auto"/>
        <w:jc w:val="center"/>
        <w:rPr>
          <w:rFonts w:ascii="Times New Roman" w:hAnsi="Times New Roman" w:cs="Times New Roman"/>
          <w:sz w:val="24"/>
          <w:szCs w:val="24"/>
        </w:rPr>
      </w:pPr>
      <w:r w:rsidRPr="00404AAE">
        <w:rPr>
          <w:rFonts w:ascii="Times New Roman" w:hAnsi="Times New Roman" w:cs="Times New Roman"/>
          <w:sz w:val="24"/>
          <w:szCs w:val="24"/>
        </w:rPr>
        <w:t>Institution</w:t>
      </w:r>
    </w:p>
    <w:p w:rsidR="00404AAE" w:rsidRPr="00404AAE" w:rsidRDefault="00404AAE" w:rsidP="00404AAE">
      <w:pPr>
        <w:spacing w:line="480" w:lineRule="auto"/>
        <w:jc w:val="center"/>
        <w:rPr>
          <w:rFonts w:ascii="Times New Roman" w:hAnsi="Times New Roman" w:cs="Times New Roman"/>
          <w:sz w:val="24"/>
          <w:szCs w:val="24"/>
        </w:rPr>
      </w:pPr>
      <w:r w:rsidRPr="00404AAE">
        <w:rPr>
          <w:rFonts w:ascii="Times New Roman" w:hAnsi="Times New Roman" w:cs="Times New Roman"/>
          <w:sz w:val="24"/>
          <w:szCs w:val="24"/>
        </w:rPr>
        <w:t>Date</w:t>
      </w: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p>
    <w:p w:rsidR="00404AAE" w:rsidRDefault="00404AAE" w:rsidP="00404AAE">
      <w:pPr>
        <w:spacing w:line="480" w:lineRule="auto"/>
        <w:jc w:val="center"/>
        <w:rPr>
          <w:rFonts w:ascii="Times New Roman" w:hAnsi="Times New Roman" w:cs="Times New Roman"/>
          <w:sz w:val="24"/>
          <w:szCs w:val="24"/>
        </w:rPr>
      </w:pPr>
      <w:r w:rsidRPr="00404AAE">
        <w:rPr>
          <w:rFonts w:ascii="Times New Roman" w:hAnsi="Times New Roman" w:cs="Times New Roman"/>
          <w:sz w:val="24"/>
          <w:szCs w:val="24"/>
        </w:rPr>
        <w:lastRenderedPageBreak/>
        <w:t>Implementing Changes in a Nursing Unit</w:t>
      </w:r>
    </w:p>
    <w:p w:rsidR="00510E00" w:rsidRPr="00510E00" w:rsidRDefault="003935F3" w:rsidP="00510E00">
      <w:pPr>
        <w:spacing w:line="480" w:lineRule="auto"/>
        <w:rPr>
          <w:rFonts w:ascii="Times New Roman" w:hAnsi="Times New Roman" w:cs="Times New Roman"/>
          <w:sz w:val="24"/>
          <w:szCs w:val="24"/>
        </w:rPr>
      </w:pPr>
      <w:r>
        <w:rPr>
          <w:rFonts w:ascii="Times New Roman" w:hAnsi="Times New Roman" w:cs="Times New Roman"/>
          <w:sz w:val="24"/>
          <w:szCs w:val="24"/>
        </w:rPr>
        <w:tab/>
      </w:r>
      <w:r w:rsidR="00510E00" w:rsidRPr="00510E00">
        <w:rPr>
          <w:rFonts w:ascii="Times New Roman" w:hAnsi="Times New Roman" w:cs="Times New Roman"/>
          <w:sz w:val="24"/>
          <w:szCs w:val="24"/>
        </w:rPr>
        <w:t xml:space="preserve">A nursing unit plays a critical toward the delivery of primary care and alleviating protracted suffering among the patients. Effective changes are essential toward sustaining the achievements of a nursing unit in the medium and long-term time dimensions. Moreover, changes are inevitable in the entire cadres of healthcare systems because a health facility adopts new practice and hedges against ultimate failures. Implementing effective changes in a nursing unit entails multiple activities that include harnessing robust innovation, designing of conflict resolution modules, new management practices, processes, and philosophies. A universal goal of implementing changes in a healthcare facility is to influence positive outcomes by adapting to the new approaches. </w:t>
      </w:r>
    </w:p>
    <w:p w:rsidR="00510E00" w:rsidRPr="00A70391" w:rsidRDefault="00510E00" w:rsidP="00A70391">
      <w:pPr>
        <w:spacing w:line="480" w:lineRule="auto"/>
        <w:jc w:val="center"/>
        <w:rPr>
          <w:rFonts w:ascii="Times New Roman" w:hAnsi="Times New Roman" w:cs="Times New Roman"/>
          <w:b/>
          <w:sz w:val="24"/>
          <w:szCs w:val="24"/>
        </w:rPr>
      </w:pPr>
      <w:r w:rsidRPr="00A70391">
        <w:rPr>
          <w:rFonts w:ascii="Times New Roman" w:hAnsi="Times New Roman" w:cs="Times New Roman"/>
          <w:b/>
          <w:sz w:val="24"/>
          <w:szCs w:val="24"/>
        </w:rPr>
        <w:t>Influences of Change Theory, Conflict Resolution, and Innovation Strategies</w:t>
      </w:r>
    </w:p>
    <w:p w:rsidR="00510E00" w:rsidRPr="00510E00" w:rsidRDefault="00510E00" w:rsidP="00A70391">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 xml:space="preserve">First, a change theory provides robust techniques to integrate changes in a nursing unit because an implementer needs an efficient plan to mitigate potential resistances from the stakeholders, which have advance ramifications. According to </w:t>
      </w:r>
      <w:proofErr w:type="spellStart"/>
      <w:r w:rsidRPr="00510E00">
        <w:rPr>
          <w:rFonts w:ascii="Times New Roman" w:hAnsi="Times New Roman" w:cs="Times New Roman"/>
          <w:sz w:val="24"/>
          <w:szCs w:val="24"/>
        </w:rPr>
        <w:t>Gesme</w:t>
      </w:r>
      <w:proofErr w:type="spellEnd"/>
      <w:r w:rsidRPr="00510E00">
        <w:rPr>
          <w:rFonts w:ascii="Times New Roman" w:hAnsi="Times New Roman" w:cs="Times New Roman"/>
          <w:sz w:val="24"/>
          <w:szCs w:val="24"/>
        </w:rPr>
        <w:t xml:space="preserve"> &amp; Wiseman, sustainable changes hinge on shared vision, leadership paradigms, and organization culture dimensions, which underpin the need to modify the existing parameters in an institution (2010). Therefore, the idea to alter the prevailing paradigms ought to fit into the core dimensions that characterize the organization including the leadership styles among the management team, employees’ willingness to embrace new interventions, and engage diverse stakeholders. </w:t>
      </w:r>
    </w:p>
    <w:p w:rsidR="00510E00" w:rsidRPr="00510E00" w:rsidRDefault="00510E00" w:rsidP="00A70391">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 xml:space="preserve">Therefore, a change implementer should familiarize with benchmark the appropriate conflict resolution practices to guarantee a strategic-fit of the change idea in a nursing unit. McCarthy (2018) asserts successful conflict model should seek to leverage on the healthy </w:t>
      </w:r>
      <w:r w:rsidRPr="00510E00">
        <w:rPr>
          <w:rFonts w:ascii="Times New Roman" w:hAnsi="Times New Roman" w:cs="Times New Roman"/>
          <w:sz w:val="24"/>
          <w:szCs w:val="24"/>
        </w:rPr>
        <w:lastRenderedPageBreak/>
        <w:t xml:space="preserve">entanglements in an organization because the latter emanating from the differences in perspectives about the current tasks or operation modules. However, unhealthy conflicts in a nursing unit can emerge, which have adverse ramifications toward successful inauguration of changes in a facility (Ibid). For example, personal attacks among employees in a nursing unit should attract the implementer’s attention before investing in changes because of the potential hindrances. Notably, a change-initiator should resolve to adopt a combination of compromising, collaborating, and accommodating strategies when the conflict </w:t>
      </w:r>
      <w:proofErr w:type="gramStart"/>
      <w:r w:rsidRPr="00510E00">
        <w:rPr>
          <w:rFonts w:ascii="Times New Roman" w:hAnsi="Times New Roman" w:cs="Times New Roman"/>
          <w:sz w:val="24"/>
          <w:szCs w:val="24"/>
        </w:rPr>
        <w:t>is perceived</w:t>
      </w:r>
      <w:proofErr w:type="gramEnd"/>
      <w:r w:rsidRPr="00510E00">
        <w:rPr>
          <w:rFonts w:ascii="Times New Roman" w:hAnsi="Times New Roman" w:cs="Times New Roman"/>
          <w:sz w:val="24"/>
          <w:szCs w:val="24"/>
        </w:rPr>
        <w:t xml:space="preserve"> healthy (ibid). Conversely, unhealthy, trivial, and non-urgent conflicts warrant the choice of either a competing or an avoidance strategy to achieve positive results. </w:t>
      </w:r>
    </w:p>
    <w:p w:rsidR="00510E00" w:rsidRPr="00510E00" w:rsidRDefault="00510E00" w:rsidP="00854B16">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 xml:space="preserve">Moreover, achieving positive outcomes after initiating a change process in a nursing unit require robust strategies to promote innovation. A prominent model that influences positive change management is a Kurt </w:t>
      </w:r>
      <w:proofErr w:type="spellStart"/>
      <w:r w:rsidRPr="00510E00">
        <w:rPr>
          <w:rFonts w:ascii="Times New Roman" w:hAnsi="Times New Roman" w:cs="Times New Roman"/>
          <w:sz w:val="24"/>
          <w:szCs w:val="24"/>
        </w:rPr>
        <w:t>Lewin’s</w:t>
      </w:r>
      <w:proofErr w:type="spellEnd"/>
      <w:r w:rsidRPr="00510E00">
        <w:rPr>
          <w:rFonts w:ascii="Times New Roman" w:hAnsi="Times New Roman" w:cs="Times New Roman"/>
          <w:sz w:val="24"/>
          <w:szCs w:val="24"/>
        </w:rPr>
        <w:t xml:space="preserve"> Unfreeze, Change, and Refreezing approach (</w:t>
      </w:r>
      <w:proofErr w:type="spellStart"/>
      <w:r w:rsidRPr="00510E00">
        <w:rPr>
          <w:rFonts w:ascii="Times New Roman" w:hAnsi="Times New Roman" w:cs="Times New Roman"/>
          <w:sz w:val="24"/>
          <w:szCs w:val="24"/>
        </w:rPr>
        <w:t>DuBrin</w:t>
      </w:r>
      <w:proofErr w:type="spellEnd"/>
      <w:r w:rsidRPr="00510E00">
        <w:rPr>
          <w:rFonts w:ascii="Times New Roman" w:hAnsi="Times New Roman" w:cs="Times New Roman"/>
          <w:sz w:val="24"/>
          <w:szCs w:val="24"/>
        </w:rPr>
        <w:t xml:space="preserve">, 2012). The use of the </w:t>
      </w:r>
      <w:proofErr w:type="spellStart"/>
      <w:r w:rsidRPr="00510E00">
        <w:rPr>
          <w:rFonts w:ascii="Times New Roman" w:hAnsi="Times New Roman" w:cs="Times New Roman"/>
          <w:sz w:val="24"/>
          <w:szCs w:val="24"/>
        </w:rPr>
        <w:t>Lewin</w:t>
      </w:r>
      <w:proofErr w:type="spellEnd"/>
      <w:r w:rsidRPr="00510E00">
        <w:rPr>
          <w:rFonts w:ascii="Times New Roman" w:hAnsi="Times New Roman" w:cs="Times New Roman"/>
          <w:sz w:val="24"/>
          <w:szCs w:val="24"/>
        </w:rPr>
        <w:t xml:space="preserve"> Theory in other disciplines that include commercial sectors enhances its reliability in promoting innovation. The </w:t>
      </w:r>
      <w:proofErr w:type="spellStart"/>
      <w:r w:rsidRPr="00510E00">
        <w:rPr>
          <w:rFonts w:ascii="Times New Roman" w:hAnsi="Times New Roman" w:cs="Times New Roman"/>
          <w:sz w:val="24"/>
          <w:szCs w:val="24"/>
        </w:rPr>
        <w:t>Lewin</w:t>
      </w:r>
      <w:proofErr w:type="spellEnd"/>
      <w:r w:rsidRPr="00510E00">
        <w:rPr>
          <w:rFonts w:ascii="Times New Roman" w:hAnsi="Times New Roman" w:cs="Times New Roman"/>
          <w:sz w:val="24"/>
          <w:szCs w:val="24"/>
        </w:rPr>
        <w:t xml:space="preserve"> model identifies three parameters that affect innovation, which include driving impetus, resistant, and equilibrium (</w:t>
      </w:r>
      <w:proofErr w:type="spellStart"/>
      <w:r w:rsidRPr="00510E00">
        <w:rPr>
          <w:rFonts w:ascii="Times New Roman" w:hAnsi="Times New Roman" w:cs="Times New Roman"/>
          <w:sz w:val="24"/>
          <w:szCs w:val="24"/>
        </w:rPr>
        <w:t>Petiprin</w:t>
      </w:r>
      <w:proofErr w:type="spellEnd"/>
      <w:r w:rsidRPr="00510E00">
        <w:rPr>
          <w:rFonts w:ascii="Times New Roman" w:hAnsi="Times New Roman" w:cs="Times New Roman"/>
          <w:sz w:val="24"/>
          <w:szCs w:val="24"/>
        </w:rPr>
        <w:t>, 2016). Identifying the driving forces that creates an impetus to change is an essential strategy to achieve innovation among the nursing practitioners. Promoting and rewarding inventiveness in a facility push the stakeholders to embrace the desired changes in an organization (ibid). However, the driving forces face significant opposition that pushes in an opposite direction. Employees oppose innovation and changes because of the fear, personality traits, and lack of information about the new interventions (</w:t>
      </w:r>
      <w:proofErr w:type="spellStart"/>
      <w:r w:rsidRPr="00510E00">
        <w:rPr>
          <w:rFonts w:ascii="Times New Roman" w:hAnsi="Times New Roman" w:cs="Times New Roman"/>
          <w:sz w:val="24"/>
          <w:szCs w:val="24"/>
        </w:rPr>
        <w:t>DuBrin</w:t>
      </w:r>
      <w:proofErr w:type="spellEnd"/>
      <w:r w:rsidRPr="00510E00">
        <w:rPr>
          <w:rFonts w:ascii="Times New Roman" w:hAnsi="Times New Roman" w:cs="Times New Roman"/>
          <w:sz w:val="24"/>
          <w:szCs w:val="24"/>
        </w:rPr>
        <w:t xml:space="preserve">, 2012). Therefore, the change-initiator should adopt commensurate strategies that include engaging stakeholders and educating the opposing factions to spur an equilibrium state. </w:t>
      </w:r>
    </w:p>
    <w:p w:rsidR="00510E00" w:rsidRPr="00854B16" w:rsidRDefault="00854B16" w:rsidP="00854B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Influence of Management</w:t>
      </w:r>
      <w:r w:rsidR="00510E00" w:rsidRPr="00854B16">
        <w:rPr>
          <w:rFonts w:ascii="Times New Roman" w:hAnsi="Times New Roman" w:cs="Times New Roman"/>
          <w:b/>
          <w:sz w:val="24"/>
          <w:szCs w:val="24"/>
        </w:rPr>
        <w:t xml:space="preserve"> Competency toward Change Implementation</w:t>
      </w:r>
    </w:p>
    <w:p w:rsidR="00510E00" w:rsidRPr="00510E00" w:rsidRDefault="00510E00" w:rsidP="00854B16">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 xml:space="preserve">A successful entity strives to achieve effective management competencies to harness the ability to utilize the scares resources and achieve positive outcomes. An effective management process in a nursing unit is a core competency because it facilitates planning, organization, coordination of the critical activities, leading, and control. A nursing unit is similar to the conventional business unit that utilizes resources that include finances, human labors, physical endowments, and information resources. An effective management process can yield positive effects toward people and change implementation. </w:t>
      </w:r>
    </w:p>
    <w:p w:rsidR="00510E00" w:rsidRPr="00510E00" w:rsidRDefault="00510E00" w:rsidP="00854B16">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 xml:space="preserve">Importantly, the effect of management process toward people in a healthcare is prominent because the delivery of optimum medical care requires human-elements. Proper management of people capitalizes on the human resource management (HRM) concept to spur desired attitudes among the nurses and operational efficacies in the delivery of care. </w:t>
      </w:r>
      <w:proofErr w:type="spellStart"/>
      <w:r w:rsidRPr="00510E00">
        <w:rPr>
          <w:rFonts w:ascii="Times New Roman" w:hAnsi="Times New Roman" w:cs="Times New Roman"/>
          <w:sz w:val="24"/>
          <w:szCs w:val="24"/>
        </w:rPr>
        <w:t>Cogin</w:t>
      </w:r>
      <w:proofErr w:type="spellEnd"/>
      <w:r w:rsidRPr="00510E00">
        <w:rPr>
          <w:rFonts w:ascii="Times New Roman" w:hAnsi="Times New Roman" w:cs="Times New Roman"/>
          <w:sz w:val="24"/>
          <w:szCs w:val="24"/>
        </w:rPr>
        <w:t xml:space="preserve">, Li, &amp; Lee (2016) advocates for a control-based management approach in a healthcare facility because employees’ behaviors influence the level of input and output. Further, a control-based management model enhances healthcare reforms and result in engaged workforces that respond to the new changes in the healthcare sector (ibid). Therefore, an investment to improve the behavior of the people in a health facility is a sustainable change against overreliance to rule and regulations to achieve conformity. </w:t>
      </w:r>
    </w:p>
    <w:p w:rsidR="00FC45AF" w:rsidRDefault="00510E00" w:rsidP="00510E00">
      <w:pPr>
        <w:spacing w:line="480" w:lineRule="auto"/>
        <w:ind w:firstLine="720"/>
        <w:rPr>
          <w:rFonts w:ascii="Times New Roman" w:hAnsi="Times New Roman" w:cs="Times New Roman"/>
          <w:sz w:val="24"/>
          <w:szCs w:val="24"/>
        </w:rPr>
      </w:pPr>
      <w:r w:rsidRPr="00510E00">
        <w:rPr>
          <w:rFonts w:ascii="Times New Roman" w:hAnsi="Times New Roman" w:cs="Times New Roman"/>
          <w:sz w:val="24"/>
          <w:szCs w:val="24"/>
        </w:rPr>
        <w:t>Concisely, contemporary management process plays minimal emphasis on the human resource management competencies to achieve corporate goals. The negative attitudes toward people management in the healthcare system have dire consequences because of dwindling service delivery (</w:t>
      </w:r>
      <w:proofErr w:type="spellStart"/>
      <w:r w:rsidRPr="00510E00">
        <w:rPr>
          <w:rFonts w:ascii="Times New Roman" w:hAnsi="Times New Roman" w:cs="Times New Roman"/>
          <w:sz w:val="24"/>
          <w:szCs w:val="24"/>
        </w:rPr>
        <w:t>Cogin</w:t>
      </w:r>
      <w:proofErr w:type="spellEnd"/>
      <w:r w:rsidRPr="00510E00">
        <w:rPr>
          <w:rFonts w:ascii="Times New Roman" w:hAnsi="Times New Roman" w:cs="Times New Roman"/>
          <w:sz w:val="24"/>
          <w:szCs w:val="24"/>
        </w:rPr>
        <w:t xml:space="preserve">, Li, &amp; Lee, 2016). The contemporary management teams should adopt </w:t>
      </w:r>
      <w:r w:rsidRPr="00510E00">
        <w:rPr>
          <w:rFonts w:ascii="Times New Roman" w:hAnsi="Times New Roman" w:cs="Times New Roman"/>
          <w:sz w:val="24"/>
          <w:szCs w:val="24"/>
        </w:rPr>
        <w:lastRenderedPageBreak/>
        <w:t>sustainable approaches to harness the level of input and output controls. No</w:t>
      </w:r>
      <w:r>
        <w:rPr>
          <w:rFonts w:ascii="Times New Roman" w:hAnsi="Times New Roman" w:cs="Times New Roman"/>
          <w:sz w:val="24"/>
          <w:szCs w:val="24"/>
        </w:rPr>
        <w:t xml:space="preserve">tably, strategic management </w:t>
      </w:r>
      <w:r w:rsidRPr="00510E00">
        <w:rPr>
          <w:rFonts w:ascii="Times New Roman" w:hAnsi="Times New Roman" w:cs="Times New Roman"/>
          <w:sz w:val="24"/>
          <w:szCs w:val="24"/>
        </w:rPr>
        <w:t xml:space="preserve">involves harnessing reliable concepts </w:t>
      </w:r>
      <w:r>
        <w:rPr>
          <w:rFonts w:ascii="Times New Roman" w:hAnsi="Times New Roman" w:cs="Times New Roman"/>
          <w:sz w:val="24"/>
          <w:szCs w:val="24"/>
        </w:rPr>
        <w:t>that include</w:t>
      </w:r>
      <w:r w:rsidRPr="00510E00">
        <w:rPr>
          <w:rFonts w:ascii="Times New Roman" w:hAnsi="Times New Roman" w:cs="Times New Roman"/>
          <w:sz w:val="24"/>
          <w:szCs w:val="24"/>
        </w:rPr>
        <w:t xml:space="preserve"> change management theory, conflict resolution, and promoting innovation. For example, a nursing unit that grapples to achieve positive outcomes can harness effective change management to alleviate detrimental trends in the short-term and long-term time dimensions. </w:t>
      </w:r>
      <w:r w:rsidR="004E560E">
        <w:rPr>
          <w:rFonts w:ascii="Times New Roman" w:hAnsi="Times New Roman" w:cs="Times New Roman"/>
          <w:sz w:val="24"/>
          <w:szCs w:val="24"/>
        </w:rPr>
        <w:t xml:space="preserve"> </w:t>
      </w:r>
    </w:p>
    <w:p w:rsidR="007C3DDF" w:rsidRDefault="007C3DDF" w:rsidP="009211BE">
      <w:pPr>
        <w:spacing w:line="480" w:lineRule="auto"/>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8232AC" w:rsidRDefault="008232AC" w:rsidP="007C3DDF">
      <w:pPr>
        <w:spacing w:line="480" w:lineRule="auto"/>
        <w:jc w:val="center"/>
        <w:rPr>
          <w:rFonts w:ascii="Times New Roman" w:hAnsi="Times New Roman" w:cs="Times New Roman"/>
          <w:sz w:val="24"/>
          <w:szCs w:val="24"/>
        </w:rPr>
      </w:pPr>
    </w:p>
    <w:p w:rsidR="007C3DDF" w:rsidRDefault="007C3DDF" w:rsidP="007C3D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23D8" w:rsidRDefault="00CF23D8" w:rsidP="00CF23D8">
      <w:pPr>
        <w:spacing w:line="480" w:lineRule="auto"/>
        <w:ind w:left="720" w:hanging="720"/>
        <w:rPr>
          <w:rFonts w:ascii="Times New Roman" w:hAnsi="Times New Roman" w:cs="Times New Roman"/>
          <w:sz w:val="24"/>
          <w:szCs w:val="24"/>
        </w:rPr>
      </w:pPr>
      <w:proofErr w:type="spellStart"/>
      <w:proofErr w:type="gramStart"/>
      <w:r w:rsidRPr="007C3DDF">
        <w:rPr>
          <w:rFonts w:ascii="Times New Roman" w:hAnsi="Times New Roman" w:cs="Times New Roman"/>
          <w:sz w:val="24"/>
          <w:szCs w:val="24"/>
        </w:rPr>
        <w:t>Cogin</w:t>
      </w:r>
      <w:proofErr w:type="spellEnd"/>
      <w:r w:rsidRPr="007C3DDF">
        <w:rPr>
          <w:rFonts w:ascii="Times New Roman" w:hAnsi="Times New Roman" w:cs="Times New Roman"/>
          <w:sz w:val="24"/>
          <w:szCs w:val="24"/>
        </w:rPr>
        <w:t>,</w:t>
      </w:r>
      <w:r w:rsidRPr="007C3DDF">
        <w:rPr>
          <w:rFonts w:ascii="Times New Roman" w:hAnsi="Times New Roman" w:cs="Times New Roman"/>
          <w:sz w:val="24"/>
          <w:szCs w:val="24"/>
        </w:rPr>
        <w:t xml:space="preserve"> J.,</w:t>
      </w:r>
      <w:r w:rsidRPr="007C3DDF">
        <w:rPr>
          <w:rFonts w:ascii="Times New Roman" w:hAnsi="Times New Roman" w:cs="Times New Roman"/>
          <w:sz w:val="24"/>
          <w:szCs w:val="24"/>
        </w:rPr>
        <w:t xml:space="preserve"> Li, </w:t>
      </w:r>
      <w:r w:rsidRPr="007C3DDF">
        <w:rPr>
          <w:rFonts w:ascii="Times New Roman" w:hAnsi="Times New Roman" w:cs="Times New Roman"/>
          <w:sz w:val="24"/>
          <w:szCs w:val="24"/>
        </w:rPr>
        <w:t xml:space="preserve">G. </w:t>
      </w:r>
      <w:r w:rsidRPr="007C3DDF">
        <w:rPr>
          <w:rFonts w:ascii="Times New Roman" w:hAnsi="Times New Roman" w:cs="Times New Roman"/>
          <w:sz w:val="24"/>
          <w:szCs w:val="24"/>
        </w:rPr>
        <w:t>&amp; Lee</w:t>
      </w:r>
      <w:r w:rsidRPr="007C3DDF">
        <w:rPr>
          <w:rFonts w:ascii="Times New Roman" w:hAnsi="Times New Roman" w:cs="Times New Roman"/>
          <w:sz w:val="24"/>
          <w:szCs w:val="24"/>
        </w:rPr>
        <w:t xml:space="preserve">, I. </w:t>
      </w:r>
      <w:r w:rsidRPr="007C3DDF">
        <w:rPr>
          <w:rFonts w:ascii="Times New Roman" w:hAnsi="Times New Roman" w:cs="Times New Roman"/>
          <w:sz w:val="24"/>
          <w:szCs w:val="24"/>
        </w:rPr>
        <w:t>(2016</w:t>
      </w:r>
      <w:r w:rsidRPr="007C3DDF">
        <w:rPr>
          <w:rFonts w:ascii="Times New Roman" w:hAnsi="Times New Roman" w:cs="Times New Roman"/>
          <w:sz w:val="24"/>
          <w:szCs w:val="24"/>
        </w:rPr>
        <w:t>).</w:t>
      </w:r>
      <w:proofErr w:type="gramEnd"/>
      <w:r w:rsidRPr="007C3DDF">
        <w:rPr>
          <w:rFonts w:ascii="Times New Roman" w:hAnsi="Times New Roman" w:cs="Times New Roman"/>
          <w:sz w:val="24"/>
          <w:szCs w:val="24"/>
        </w:rPr>
        <w:t xml:space="preserve"> </w:t>
      </w:r>
      <w:r>
        <w:rPr>
          <w:rFonts w:ascii="Times New Roman" w:hAnsi="Times New Roman" w:cs="Times New Roman"/>
          <w:sz w:val="24"/>
          <w:szCs w:val="24"/>
        </w:rPr>
        <w:t>“</w:t>
      </w:r>
      <w:r w:rsidRPr="007C3DDF">
        <w:rPr>
          <w:rFonts w:ascii="Times New Roman" w:hAnsi="Times New Roman" w:cs="Times New Roman"/>
          <w:sz w:val="24"/>
          <w:szCs w:val="24"/>
        </w:rPr>
        <w:t>Controlling healthcare professionals: how human resource management influences job attitudes and operational efficiency</w:t>
      </w:r>
      <w:r>
        <w:rPr>
          <w:rFonts w:ascii="Times New Roman" w:hAnsi="Times New Roman" w:cs="Times New Roman"/>
          <w:sz w:val="24"/>
          <w:szCs w:val="24"/>
        </w:rPr>
        <w:t xml:space="preserve">,” </w:t>
      </w:r>
      <w:r w:rsidRPr="007A0D80">
        <w:rPr>
          <w:rFonts w:ascii="Times New Roman" w:hAnsi="Times New Roman" w:cs="Times New Roman"/>
          <w:i/>
          <w:sz w:val="24"/>
          <w:szCs w:val="24"/>
        </w:rPr>
        <w:t>Journal of Human Resource for Health, vol. 14</w:t>
      </w:r>
      <w:r>
        <w:rPr>
          <w:rFonts w:ascii="Times New Roman" w:hAnsi="Times New Roman" w:cs="Times New Roman"/>
          <w:sz w:val="24"/>
          <w:szCs w:val="24"/>
        </w:rPr>
        <w:t>, p.55</w:t>
      </w:r>
    </w:p>
    <w:p w:rsidR="00CF23D8" w:rsidRDefault="00CF23D8" w:rsidP="00CF23D8">
      <w:pPr>
        <w:spacing w:line="480" w:lineRule="auto"/>
        <w:ind w:left="720" w:hanging="720"/>
        <w:rPr>
          <w:rStyle w:val="comp"/>
          <w:rFonts w:ascii="Times New Roman" w:hAnsi="Times New Roman" w:cs="Times New Roman"/>
          <w:sz w:val="24"/>
          <w:szCs w:val="24"/>
        </w:rPr>
      </w:pPr>
      <w:proofErr w:type="spellStart"/>
      <w:r>
        <w:rPr>
          <w:rFonts w:ascii="Times New Roman" w:hAnsi="Times New Roman" w:cs="Times New Roman"/>
          <w:sz w:val="24"/>
          <w:szCs w:val="24"/>
        </w:rPr>
        <w:t>DuBrin</w:t>
      </w:r>
      <w:proofErr w:type="spellEnd"/>
      <w:r>
        <w:rPr>
          <w:rFonts w:ascii="Times New Roman" w:hAnsi="Times New Roman" w:cs="Times New Roman"/>
          <w:sz w:val="24"/>
          <w:szCs w:val="24"/>
        </w:rPr>
        <w:t xml:space="preserve">, A. (2012). Essentials of management, (Ninth Edition), Mason; OH, </w:t>
      </w:r>
      <w:proofErr w:type="gramStart"/>
      <w:r>
        <w:rPr>
          <w:rFonts w:ascii="Times New Roman" w:hAnsi="Times New Roman" w:cs="Times New Roman"/>
          <w:sz w:val="24"/>
          <w:szCs w:val="24"/>
        </w:rPr>
        <w:t>South-western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-Learning </w:t>
      </w:r>
    </w:p>
    <w:p w:rsidR="00CF23D8" w:rsidRDefault="00CF23D8" w:rsidP="00CF23D8">
      <w:pPr>
        <w:spacing w:line="480" w:lineRule="auto"/>
        <w:ind w:left="720" w:hanging="720"/>
        <w:rPr>
          <w:rFonts w:ascii="Times New Roman" w:hAnsi="Times New Roman" w:cs="Times New Roman"/>
          <w:sz w:val="24"/>
          <w:szCs w:val="24"/>
        </w:rPr>
      </w:pPr>
      <w:hyperlink r:id="rId7" w:history="1">
        <w:proofErr w:type="spellStart"/>
        <w:proofErr w:type="gramStart"/>
        <w:r w:rsidRPr="007A0D80">
          <w:rPr>
            <w:rFonts w:ascii="Times New Roman" w:hAnsi="Times New Roman" w:cs="Times New Roman"/>
            <w:sz w:val="24"/>
            <w:szCs w:val="24"/>
          </w:rPr>
          <w:t>Gesme</w:t>
        </w:r>
        <w:proofErr w:type="spellEnd"/>
      </w:hyperlink>
      <w:r>
        <w:rPr>
          <w:rFonts w:ascii="Times New Roman" w:hAnsi="Times New Roman" w:cs="Times New Roman"/>
          <w:sz w:val="24"/>
          <w:szCs w:val="24"/>
        </w:rPr>
        <w:t>, D. &amp;</w:t>
      </w:r>
      <w:hyperlink r:id="rId8" w:history="1">
        <w:r w:rsidRPr="007A0D80">
          <w:rPr>
            <w:rFonts w:ascii="Times New Roman" w:hAnsi="Times New Roman" w:cs="Times New Roman"/>
            <w:sz w:val="24"/>
            <w:szCs w:val="24"/>
          </w:rPr>
          <w:t xml:space="preserve"> Wiseman</w:t>
        </w:r>
      </w:hyperlink>
      <w:r>
        <w:rPr>
          <w:rFonts w:ascii="Times New Roman" w:hAnsi="Times New Roman" w:cs="Times New Roman"/>
          <w:sz w:val="24"/>
          <w:szCs w:val="24"/>
        </w:rPr>
        <w:t>, M. (2010).</w:t>
      </w:r>
      <w:proofErr w:type="gramEnd"/>
      <w:r w:rsidRPr="00FF694A">
        <w:rPr>
          <w:rFonts w:ascii="Times New Roman" w:hAnsi="Times New Roman" w:cs="Times New Roman"/>
          <w:sz w:val="24"/>
          <w:szCs w:val="24"/>
        </w:rPr>
        <w:t xml:space="preserve"> </w:t>
      </w:r>
      <w:r>
        <w:rPr>
          <w:rFonts w:ascii="Times New Roman" w:hAnsi="Times New Roman" w:cs="Times New Roman"/>
          <w:sz w:val="24"/>
          <w:szCs w:val="24"/>
        </w:rPr>
        <w:t>“</w:t>
      </w:r>
      <w:r w:rsidRPr="007A0D80">
        <w:rPr>
          <w:rFonts w:ascii="Times New Roman" w:hAnsi="Times New Roman" w:cs="Times New Roman"/>
          <w:bCs/>
          <w:kern w:val="36"/>
          <w:sz w:val="24"/>
          <w:szCs w:val="24"/>
        </w:rPr>
        <w:t>How to implement change in practice</w:t>
      </w:r>
      <w:r>
        <w:rPr>
          <w:rFonts w:ascii="Times New Roman" w:hAnsi="Times New Roman" w:cs="Times New Roman"/>
          <w:bCs/>
          <w:kern w:val="36"/>
          <w:sz w:val="24"/>
          <w:szCs w:val="24"/>
        </w:rPr>
        <w:t xml:space="preserve">, </w:t>
      </w:r>
      <w:proofErr w:type="gramStart"/>
      <w:r>
        <w:rPr>
          <w:rFonts w:ascii="Times New Roman" w:hAnsi="Times New Roman" w:cs="Times New Roman"/>
          <w:bCs/>
          <w:kern w:val="36"/>
          <w:sz w:val="24"/>
          <w:szCs w:val="24"/>
        </w:rPr>
        <w:t xml:space="preserve">“ </w:t>
      </w:r>
      <w:proofErr w:type="gramEnd"/>
      <w:r w:rsidRPr="00FF694A">
        <w:rPr>
          <w:rFonts w:ascii="Times New Roman" w:hAnsi="Times New Roman" w:cs="Times New Roman"/>
          <w:i/>
          <w:sz w:val="24"/>
          <w:szCs w:val="24"/>
        </w:rPr>
        <w:fldChar w:fldCharType="begin"/>
      </w:r>
      <w:r w:rsidRPr="00FF694A">
        <w:rPr>
          <w:rFonts w:ascii="Times New Roman" w:hAnsi="Times New Roman" w:cs="Times New Roman"/>
          <w:i/>
          <w:sz w:val="24"/>
          <w:szCs w:val="24"/>
        </w:rPr>
        <w:instrText xml:space="preserve"> HYPERLINK "https://www.ncbi.nlm.nih.gov/pmc/articles/PMC2936472/" </w:instrText>
      </w:r>
      <w:r w:rsidRPr="00FF694A">
        <w:rPr>
          <w:rFonts w:ascii="Times New Roman" w:hAnsi="Times New Roman" w:cs="Times New Roman"/>
          <w:i/>
          <w:sz w:val="24"/>
          <w:szCs w:val="24"/>
        </w:rPr>
        <w:fldChar w:fldCharType="separate"/>
      </w:r>
      <w:r w:rsidRPr="00FF694A">
        <w:rPr>
          <w:rFonts w:ascii="Times New Roman" w:hAnsi="Times New Roman" w:cs="Times New Roman"/>
          <w:i/>
          <w:sz w:val="24"/>
          <w:szCs w:val="24"/>
        </w:rPr>
        <w:t>Journal of Oncology Pract</w:t>
      </w:r>
      <w:r w:rsidRPr="00FF694A">
        <w:rPr>
          <w:rFonts w:ascii="Times New Roman" w:hAnsi="Times New Roman" w:cs="Times New Roman"/>
          <w:i/>
          <w:sz w:val="24"/>
          <w:szCs w:val="24"/>
        </w:rPr>
        <w:fldChar w:fldCharType="end"/>
      </w:r>
      <w:r w:rsidRPr="00FF694A">
        <w:rPr>
          <w:rFonts w:ascii="Times New Roman" w:hAnsi="Times New Roman" w:cs="Times New Roman"/>
          <w:i/>
          <w:sz w:val="24"/>
          <w:szCs w:val="24"/>
        </w:rPr>
        <w:t>ice, vol. 6, issue 5, pp. 257–259</w:t>
      </w:r>
      <w:r>
        <w:rPr>
          <w:rFonts w:ascii="Times New Roman" w:hAnsi="Times New Roman" w:cs="Times New Roman"/>
          <w:sz w:val="24"/>
          <w:szCs w:val="24"/>
        </w:rPr>
        <w:t xml:space="preserve">. </w:t>
      </w:r>
      <w:proofErr w:type="spellStart"/>
      <w:proofErr w:type="gramStart"/>
      <w:r w:rsidRPr="007A0D80">
        <w:rPr>
          <w:rFonts w:ascii="Times New Roman" w:hAnsi="Times New Roman" w:cs="Times New Roman"/>
          <w:sz w:val="24"/>
          <w:szCs w:val="24"/>
        </w:rPr>
        <w:t>doi</w:t>
      </w:r>
      <w:proofErr w:type="spellEnd"/>
      <w:proofErr w:type="gramEnd"/>
      <w:r w:rsidRPr="007A0D80">
        <w:rPr>
          <w:rFonts w:ascii="Times New Roman" w:hAnsi="Times New Roman" w:cs="Times New Roman"/>
          <w:sz w:val="24"/>
          <w:szCs w:val="24"/>
        </w:rPr>
        <w:t xml:space="preserve">:  </w:t>
      </w:r>
      <w:hyperlink r:id="rId9" w:tgtFrame="pmc_ext" w:history="1">
        <w:r w:rsidRPr="007A0D80">
          <w:rPr>
            <w:rFonts w:ascii="Times New Roman" w:hAnsi="Times New Roman" w:cs="Times New Roman"/>
            <w:sz w:val="24"/>
            <w:szCs w:val="24"/>
          </w:rPr>
          <w:t>10.1200/JOP.000089</w:t>
        </w:r>
      </w:hyperlink>
    </w:p>
    <w:p w:rsidR="00CF23D8" w:rsidRDefault="00CF23D8" w:rsidP="00CF23D8">
      <w:pPr>
        <w:spacing w:line="480" w:lineRule="auto"/>
        <w:ind w:left="720" w:hanging="720"/>
        <w:rPr>
          <w:rFonts w:ascii="Times New Roman" w:hAnsi="Times New Roman" w:cs="Times New Roman"/>
          <w:sz w:val="24"/>
          <w:szCs w:val="24"/>
        </w:rPr>
      </w:pPr>
      <w:r w:rsidRPr="00A143ED">
        <w:rPr>
          <w:rFonts w:ascii="Times New Roman" w:hAnsi="Times New Roman" w:cs="Times New Roman"/>
          <w:sz w:val="24"/>
          <w:szCs w:val="24"/>
        </w:rPr>
        <w:t xml:space="preserve">McCarthy, D. (Oct. 4, 2018). </w:t>
      </w:r>
      <w:proofErr w:type="gramStart"/>
      <w:r>
        <w:rPr>
          <w:rStyle w:val="comp"/>
          <w:rFonts w:ascii="Times New Roman" w:hAnsi="Times New Roman" w:cs="Times New Roman"/>
          <w:sz w:val="24"/>
          <w:szCs w:val="24"/>
        </w:rPr>
        <w:t>“Five ways to manage conflict in the w</w:t>
      </w:r>
      <w:r w:rsidRPr="00A143ED">
        <w:rPr>
          <w:rStyle w:val="comp"/>
          <w:rFonts w:ascii="Times New Roman" w:hAnsi="Times New Roman" w:cs="Times New Roman"/>
          <w:sz w:val="24"/>
          <w:szCs w:val="24"/>
        </w:rPr>
        <w:t>orkplace</w:t>
      </w:r>
      <w:r>
        <w:rPr>
          <w:rStyle w:val="comp"/>
          <w:rFonts w:ascii="Times New Roman" w:hAnsi="Times New Roman" w:cs="Times New Roman"/>
          <w:sz w:val="24"/>
          <w:szCs w:val="24"/>
        </w:rPr>
        <w:t xml:space="preserve">,” The </w:t>
      </w:r>
      <w:proofErr w:type="spellStart"/>
      <w:r>
        <w:rPr>
          <w:rStyle w:val="comp"/>
          <w:rFonts w:ascii="Times New Roman" w:hAnsi="Times New Roman" w:cs="Times New Roman"/>
          <w:sz w:val="24"/>
          <w:szCs w:val="24"/>
        </w:rPr>
        <w:t>Balancecareers</w:t>
      </w:r>
      <w:proofErr w:type="spellEnd"/>
      <w:r>
        <w:rPr>
          <w:rStyle w:val="comp"/>
          <w:rFonts w:ascii="Times New Roman" w:hAnsi="Times New Roman" w:cs="Times New Roman"/>
          <w:sz w:val="24"/>
          <w:szCs w:val="24"/>
        </w:rPr>
        <w:t>.</w:t>
      </w:r>
      <w:proofErr w:type="gramEnd"/>
      <w:r>
        <w:rPr>
          <w:rStyle w:val="comp"/>
          <w:rFonts w:ascii="Times New Roman" w:hAnsi="Times New Roman" w:cs="Times New Roman"/>
          <w:sz w:val="24"/>
          <w:szCs w:val="24"/>
        </w:rPr>
        <w:t xml:space="preserve"> </w:t>
      </w:r>
      <w:hyperlink r:id="rId10" w:history="1">
        <w:r w:rsidRPr="003F1F1A">
          <w:rPr>
            <w:rStyle w:val="Hyperlink"/>
            <w:rFonts w:ascii="Times New Roman" w:hAnsi="Times New Roman" w:cs="Times New Roman"/>
            <w:sz w:val="24"/>
            <w:szCs w:val="24"/>
          </w:rPr>
          <w:t>www.thebalancecareers.com/ways-to-manage-conflict-2276062</w:t>
        </w:r>
      </w:hyperlink>
      <w:r>
        <w:rPr>
          <w:rStyle w:val="comp"/>
          <w:rFonts w:ascii="Times New Roman" w:hAnsi="Times New Roman" w:cs="Times New Roman"/>
          <w:sz w:val="24"/>
          <w:szCs w:val="24"/>
        </w:rPr>
        <w:t xml:space="preserve"> [</w:t>
      </w:r>
      <w:r>
        <w:rPr>
          <w:rFonts w:ascii="Times New Roman" w:hAnsi="Times New Roman" w:cs="Times New Roman"/>
          <w:sz w:val="24"/>
          <w:szCs w:val="24"/>
        </w:rPr>
        <w:t>ACCESSED October 12, 2018</w:t>
      </w:r>
      <w:r>
        <w:rPr>
          <w:rFonts w:ascii="Times New Roman" w:hAnsi="Times New Roman" w:cs="Times New Roman"/>
          <w:sz w:val="24"/>
          <w:szCs w:val="24"/>
        </w:rPr>
        <w:t>]</w:t>
      </w:r>
    </w:p>
    <w:p w:rsidR="00CF23D8" w:rsidRDefault="00CF23D8" w:rsidP="00CF23D8">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Petiprin</w:t>
      </w:r>
      <w:proofErr w:type="spellEnd"/>
      <w:r>
        <w:rPr>
          <w:rFonts w:ascii="Times New Roman" w:hAnsi="Times New Roman" w:cs="Times New Roman"/>
          <w:sz w:val="24"/>
          <w:szCs w:val="24"/>
        </w:rPr>
        <w:t>, A. (2016). “</w:t>
      </w:r>
      <w:proofErr w:type="spellStart"/>
      <w:r>
        <w:rPr>
          <w:rFonts w:ascii="Times New Roman" w:hAnsi="Times New Roman" w:cs="Times New Roman"/>
          <w:sz w:val="24"/>
          <w:szCs w:val="24"/>
        </w:rPr>
        <w:t>Lewin’s</w:t>
      </w:r>
      <w:proofErr w:type="spellEnd"/>
      <w:r>
        <w:rPr>
          <w:rFonts w:ascii="Times New Roman" w:hAnsi="Times New Roman" w:cs="Times New Roman"/>
          <w:sz w:val="24"/>
          <w:szCs w:val="24"/>
        </w:rPr>
        <w:t xml:space="preserve"> change theory,” </w:t>
      </w:r>
      <w:r w:rsidRPr="00596CA6">
        <w:rPr>
          <w:rFonts w:ascii="Times New Roman" w:hAnsi="Times New Roman" w:cs="Times New Roman"/>
          <w:i/>
          <w:sz w:val="24"/>
          <w:szCs w:val="24"/>
        </w:rPr>
        <w:t>The Nursing-Org</w:t>
      </w:r>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hyperlink r:id="rId11" w:history="1">
        <w:r w:rsidRPr="003F1F1A">
          <w:rPr>
            <w:rStyle w:val="Hyperlink"/>
            <w:rFonts w:ascii="Times New Roman" w:hAnsi="Times New Roman" w:cs="Times New Roman"/>
            <w:i/>
            <w:sz w:val="24"/>
            <w:szCs w:val="24"/>
          </w:rPr>
          <w:t>www.nursing-theory.org/theories-and-models/Lewin-Change-Theory.php</w:t>
        </w:r>
      </w:hyperlink>
      <w:r>
        <w:rPr>
          <w:rFonts w:ascii="Times New Roman" w:hAnsi="Times New Roman" w:cs="Times New Roman"/>
          <w:i/>
          <w:sz w:val="24"/>
          <w:szCs w:val="24"/>
        </w:rPr>
        <w:t xml:space="preserve">, </w:t>
      </w:r>
      <w:r>
        <w:rPr>
          <w:rFonts w:ascii="Times New Roman" w:hAnsi="Times New Roman" w:cs="Times New Roman"/>
          <w:sz w:val="24"/>
          <w:szCs w:val="24"/>
        </w:rPr>
        <w:t>[ACCESSED October 12, 2018]</w:t>
      </w:r>
    </w:p>
    <w:p w:rsidR="009E53F4" w:rsidRPr="00A143ED" w:rsidRDefault="009E53F4" w:rsidP="00A143ED">
      <w:pPr>
        <w:rPr>
          <w:rFonts w:ascii="Times New Roman" w:hAnsi="Times New Roman" w:cs="Times New Roman"/>
          <w:sz w:val="24"/>
          <w:szCs w:val="24"/>
        </w:rPr>
      </w:pPr>
    </w:p>
    <w:p w:rsidR="00A143ED" w:rsidRPr="00596CA6" w:rsidRDefault="00A143ED" w:rsidP="007A0D80">
      <w:pPr>
        <w:rPr>
          <w:rFonts w:ascii="Times New Roman" w:hAnsi="Times New Roman" w:cs="Times New Roman"/>
          <w:sz w:val="24"/>
          <w:szCs w:val="24"/>
        </w:rPr>
      </w:pPr>
    </w:p>
    <w:p w:rsidR="007A0D80" w:rsidRPr="007A0D80" w:rsidRDefault="007A0D80" w:rsidP="007A0D80">
      <w:pPr>
        <w:rPr>
          <w:rFonts w:ascii="Times New Roman" w:hAnsi="Times New Roman" w:cs="Times New Roman"/>
          <w:sz w:val="24"/>
          <w:szCs w:val="24"/>
        </w:rPr>
      </w:pPr>
    </w:p>
    <w:p w:rsidR="007A0D80" w:rsidRPr="007C3DDF" w:rsidRDefault="007A0D80" w:rsidP="007A0D80">
      <w:pPr>
        <w:spacing w:line="480" w:lineRule="auto"/>
        <w:jc w:val="both"/>
        <w:rPr>
          <w:rFonts w:ascii="Times New Roman" w:hAnsi="Times New Roman" w:cs="Times New Roman"/>
          <w:sz w:val="24"/>
          <w:szCs w:val="24"/>
        </w:rPr>
      </w:pPr>
    </w:p>
    <w:p w:rsidR="007C3DDF" w:rsidRPr="00266D9E" w:rsidRDefault="007C3DDF" w:rsidP="009211BE">
      <w:pPr>
        <w:spacing w:line="480" w:lineRule="auto"/>
        <w:rPr>
          <w:rFonts w:ascii="Times New Roman" w:hAnsi="Times New Roman" w:cs="Times New Roman"/>
          <w:sz w:val="24"/>
          <w:szCs w:val="24"/>
        </w:rPr>
      </w:pPr>
      <w:bookmarkStart w:id="0" w:name="_GoBack"/>
      <w:bookmarkEnd w:id="0"/>
    </w:p>
    <w:sectPr w:rsidR="007C3DDF" w:rsidRPr="00266D9E" w:rsidSect="00EB05D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9B0" w:rsidRDefault="00DE69B0" w:rsidP="00E923BC">
      <w:pPr>
        <w:spacing w:after="0" w:line="240" w:lineRule="auto"/>
      </w:pPr>
      <w:r>
        <w:separator/>
      </w:r>
    </w:p>
  </w:endnote>
  <w:endnote w:type="continuationSeparator" w:id="0">
    <w:p w:rsidR="00DE69B0" w:rsidRDefault="00DE69B0" w:rsidP="00E92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9B0" w:rsidRDefault="00DE69B0" w:rsidP="00E923BC">
      <w:pPr>
        <w:spacing w:after="0" w:line="240" w:lineRule="auto"/>
      </w:pPr>
      <w:r>
        <w:separator/>
      </w:r>
    </w:p>
  </w:footnote>
  <w:footnote w:type="continuationSeparator" w:id="0">
    <w:p w:rsidR="00DE69B0" w:rsidRDefault="00DE69B0" w:rsidP="00E923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3BC" w:rsidRPr="00EB05D7" w:rsidRDefault="00EB05D7" w:rsidP="00EB05D7">
    <w:pPr>
      <w:pStyle w:val="Header"/>
      <w:rPr>
        <w:rFonts w:ascii="Times New Roman" w:hAnsi="Times New Roman" w:cs="Times New Roman"/>
        <w:sz w:val="24"/>
        <w:szCs w:val="24"/>
      </w:rPr>
    </w:pPr>
    <w:r w:rsidRPr="00E923BC">
      <w:rPr>
        <w:rFonts w:ascii="Times New Roman" w:hAnsi="Times New Roman" w:cs="Times New Roman"/>
        <w:sz w:val="24"/>
        <w:szCs w:val="24"/>
      </w:rPr>
      <w:t>IMPLEMENTING CHANGES IN NURSING UNITS</w:t>
    </w:r>
    <w:r>
      <w:rPr>
        <w:rFonts w:ascii="Times New Roman" w:hAnsi="Times New Roman" w:cs="Times New Roman"/>
        <w:sz w:val="24"/>
        <w:szCs w:val="24"/>
      </w:rPr>
      <w:tab/>
    </w:r>
    <w:r>
      <w:rPr>
        <w:rFonts w:ascii="Times New Roman" w:hAnsi="Times New Roman" w:cs="Times New Roman"/>
        <w:sz w:val="24"/>
        <w:szCs w:val="24"/>
      </w:rPr>
      <w:tab/>
    </w:r>
    <w:r w:rsidRPr="00E923BC">
      <w:rPr>
        <w:rFonts w:ascii="Times New Roman" w:hAnsi="Times New Roman" w:cs="Times New Roman"/>
        <w:sz w:val="24"/>
        <w:szCs w:val="24"/>
      </w:rPr>
      <w:fldChar w:fldCharType="begin"/>
    </w:r>
    <w:r w:rsidRPr="00E923BC">
      <w:rPr>
        <w:rFonts w:ascii="Times New Roman" w:hAnsi="Times New Roman" w:cs="Times New Roman"/>
        <w:sz w:val="24"/>
        <w:szCs w:val="24"/>
      </w:rPr>
      <w:instrText xml:space="preserve"> PAGE   \* MERGEFORMAT </w:instrText>
    </w:r>
    <w:r w:rsidRPr="00E923BC">
      <w:rPr>
        <w:rFonts w:ascii="Times New Roman" w:hAnsi="Times New Roman" w:cs="Times New Roman"/>
        <w:sz w:val="24"/>
        <w:szCs w:val="24"/>
      </w:rPr>
      <w:fldChar w:fldCharType="separate"/>
    </w:r>
    <w:r w:rsidR="00A70391">
      <w:rPr>
        <w:rFonts w:ascii="Times New Roman" w:hAnsi="Times New Roman" w:cs="Times New Roman"/>
        <w:noProof/>
        <w:sz w:val="24"/>
        <w:szCs w:val="24"/>
      </w:rPr>
      <w:t>6</w:t>
    </w:r>
    <w:r w:rsidRPr="00E923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AAE" w:rsidRPr="00EB05D7" w:rsidRDefault="00EB05D7">
    <w:pPr>
      <w:pStyle w:val="Header"/>
      <w:rPr>
        <w:rFonts w:ascii="Times New Roman" w:hAnsi="Times New Roman" w:cs="Times New Roman"/>
        <w:sz w:val="24"/>
        <w:szCs w:val="24"/>
      </w:rPr>
    </w:pPr>
    <w:r w:rsidRPr="00E923BC">
      <w:rPr>
        <w:rFonts w:ascii="Times New Roman" w:hAnsi="Times New Roman" w:cs="Times New Roman"/>
        <w:sz w:val="24"/>
        <w:szCs w:val="24"/>
      </w:rPr>
      <w:t>Running Head: IMPLEMENTING CHANGES IN NURSING UNITS</w:t>
    </w:r>
    <w:r>
      <w:rPr>
        <w:rFonts w:ascii="Times New Roman" w:hAnsi="Times New Roman" w:cs="Times New Roman"/>
        <w:sz w:val="24"/>
        <w:szCs w:val="24"/>
      </w:rPr>
      <w:tab/>
    </w:r>
    <w:r>
      <w:rPr>
        <w:rFonts w:ascii="Times New Roman" w:hAnsi="Times New Roman" w:cs="Times New Roman"/>
        <w:sz w:val="24"/>
        <w:szCs w:val="24"/>
      </w:rPr>
      <w:tab/>
    </w:r>
    <w:r w:rsidRPr="00E923BC">
      <w:rPr>
        <w:rFonts w:ascii="Times New Roman" w:hAnsi="Times New Roman" w:cs="Times New Roman"/>
        <w:sz w:val="24"/>
        <w:szCs w:val="24"/>
      </w:rPr>
      <w:fldChar w:fldCharType="begin"/>
    </w:r>
    <w:r w:rsidRPr="00E923BC">
      <w:rPr>
        <w:rFonts w:ascii="Times New Roman" w:hAnsi="Times New Roman" w:cs="Times New Roman"/>
        <w:sz w:val="24"/>
        <w:szCs w:val="24"/>
      </w:rPr>
      <w:instrText xml:space="preserve"> PAGE   \* MERGEFORMAT </w:instrText>
    </w:r>
    <w:r w:rsidRPr="00E923BC">
      <w:rPr>
        <w:rFonts w:ascii="Times New Roman" w:hAnsi="Times New Roman" w:cs="Times New Roman"/>
        <w:sz w:val="24"/>
        <w:szCs w:val="24"/>
      </w:rPr>
      <w:fldChar w:fldCharType="separate"/>
    </w:r>
    <w:r w:rsidR="00A70391">
      <w:rPr>
        <w:rFonts w:ascii="Times New Roman" w:hAnsi="Times New Roman" w:cs="Times New Roman"/>
        <w:noProof/>
        <w:sz w:val="24"/>
        <w:szCs w:val="24"/>
      </w:rPr>
      <w:t>1</w:t>
    </w:r>
    <w:r w:rsidRPr="00E923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C73"/>
    <w:rsid w:val="000D5346"/>
    <w:rsid w:val="000D7ECC"/>
    <w:rsid w:val="000E4C38"/>
    <w:rsid w:val="000E513D"/>
    <w:rsid w:val="000F474B"/>
    <w:rsid w:val="000F7FDC"/>
    <w:rsid w:val="001303A2"/>
    <w:rsid w:val="001932AC"/>
    <w:rsid w:val="001A6494"/>
    <w:rsid w:val="001C6749"/>
    <w:rsid w:val="001E538D"/>
    <w:rsid w:val="001E78F7"/>
    <w:rsid w:val="00266D9E"/>
    <w:rsid w:val="002770A3"/>
    <w:rsid w:val="00284F62"/>
    <w:rsid w:val="00291C99"/>
    <w:rsid w:val="002B40B5"/>
    <w:rsid w:val="002B65C6"/>
    <w:rsid w:val="002F3FC2"/>
    <w:rsid w:val="0034104F"/>
    <w:rsid w:val="00352957"/>
    <w:rsid w:val="003720E2"/>
    <w:rsid w:val="00375305"/>
    <w:rsid w:val="003935F3"/>
    <w:rsid w:val="003A4F16"/>
    <w:rsid w:val="003E059B"/>
    <w:rsid w:val="003E7FB6"/>
    <w:rsid w:val="003F0910"/>
    <w:rsid w:val="00404AAE"/>
    <w:rsid w:val="00431F7D"/>
    <w:rsid w:val="004854B6"/>
    <w:rsid w:val="00495AF1"/>
    <w:rsid w:val="004967C8"/>
    <w:rsid w:val="004A54CC"/>
    <w:rsid w:val="004A7BC4"/>
    <w:rsid w:val="004C7CFA"/>
    <w:rsid w:val="004E560E"/>
    <w:rsid w:val="004E6DE8"/>
    <w:rsid w:val="0050588C"/>
    <w:rsid w:val="00510E00"/>
    <w:rsid w:val="00523FB0"/>
    <w:rsid w:val="00546734"/>
    <w:rsid w:val="005675B3"/>
    <w:rsid w:val="00593034"/>
    <w:rsid w:val="00596CA6"/>
    <w:rsid w:val="005B2E61"/>
    <w:rsid w:val="005B3A32"/>
    <w:rsid w:val="005F2876"/>
    <w:rsid w:val="005F64B2"/>
    <w:rsid w:val="00602611"/>
    <w:rsid w:val="00604C73"/>
    <w:rsid w:val="0062090A"/>
    <w:rsid w:val="006443B4"/>
    <w:rsid w:val="00685BF7"/>
    <w:rsid w:val="006B55D5"/>
    <w:rsid w:val="006C14C5"/>
    <w:rsid w:val="006E4CBC"/>
    <w:rsid w:val="006E787D"/>
    <w:rsid w:val="006F6108"/>
    <w:rsid w:val="00781430"/>
    <w:rsid w:val="0079535C"/>
    <w:rsid w:val="00797D89"/>
    <w:rsid w:val="007A0D80"/>
    <w:rsid w:val="007C3DDF"/>
    <w:rsid w:val="007E566D"/>
    <w:rsid w:val="007F2182"/>
    <w:rsid w:val="007F66FF"/>
    <w:rsid w:val="007F6F49"/>
    <w:rsid w:val="008232AC"/>
    <w:rsid w:val="0084123A"/>
    <w:rsid w:val="00854B16"/>
    <w:rsid w:val="00861601"/>
    <w:rsid w:val="00881F56"/>
    <w:rsid w:val="008B72D9"/>
    <w:rsid w:val="008C712D"/>
    <w:rsid w:val="009211BE"/>
    <w:rsid w:val="00924B7D"/>
    <w:rsid w:val="009256A0"/>
    <w:rsid w:val="00930C7A"/>
    <w:rsid w:val="00976CE3"/>
    <w:rsid w:val="00990048"/>
    <w:rsid w:val="00995979"/>
    <w:rsid w:val="009A132E"/>
    <w:rsid w:val="009B0585"/>
    <w:rsid w:val="009E53F4"/>
    <w:rsid w:val="009F1EB0"/>
    <w:rsid w:val="00A06845"/>
    <w:rsid w:val="00A06A20"/>
    <w:rsid w:val="00A143ED"/>
    <w:rsid w:val="00A3373E"/>
    <w:rsid w:val="00A70391"/>
    <w:rsid w:val="00A83DFB"/>
    <w:rsid w:val="00AA0579"/>
    <w:rsid w:val="00AC3E66"/>
    <w:rsid w:val="00B40DF9"/>
    <w:rsid w:val="00B5457B"/>
    <w:rsid w:val="00BB4F7D"/>
    <w:rsid w:val="00BB5B3F"/>
    <w:rsid w:val="00BE0F24"/>
    <w:rsid w:val="00C037ED"/>
    <w:rsid w:val="00C54EC6"/>
    <w:rsid w:val="00C83140"/>
    <w:rsid w:val="00CA391B"/>
    <w:rsid w:val="00CB6DA6"/>
    <w:rsid w:val="00CD7ED5"/>
    <w:rsid w:val="00CE22B5"/>
    <w:rsid w:val="00CF23D8"/>
    <w:rsid w:val="00D04085"/>
    <w:rsid w:val="00D12486"/>
    <w:rsid w:val="00D81A82"/>
    <w:rsid w:val="00D95C08"/>
    <w:rsid w:val="00DE69B0"/>
    <w:rsid w:val="00E22E2C"/>
    <w:rsid w:val="00E862CC"/>
    <w:rsid w:val="00E923BC"/>
    <w:rsid w:val="00EB05D7"/>
    <w:rsid w:val="00EF1F93"/>
    <w:rsid w:val="00EF6C19"/>
    <w:rsid w:val="00F1216E"/>
    <w:rsid w:val="00F209D7"/>
    <w:rsid w:val="00F247F9"/>
    <w:rsid w:val="00F41E75"/>
    <w:rsid w:val="00FB28CC"/>
    <w:rsid w:val="00FC45AF"/>
    <w:rsid w:val="00FE7F19"/>
    <w:rsid w:val="00FF0953"/>
    <w:rsid w:val="00FF6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3D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BC"/>
  </w:style>
  <w:style w:type="paragraph" w:styleId="Footer">
    <w:name w:val="footer"/>
    <w:basedOn w:val="Normal"/>
    <w:link w:val="FooterChar"/>
    <w:uiPriority w:val="99"/>
    <w:unhideWhenUsed/>
    <w:rsid w:val="00E92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BC"/>
  </w:style>
  <w:style w:type="character" w:customStyle="1" w:styleId="Heading1Char">
    <w:name w:val="Heading 1 Char"/>
    <w:basedOn w:val="DefaultParagraphFont"/>
    <w:link w:val="Heading1"/>
    <w:uiPriority w:val="9"/>
    <w:rsid w:val="007C3DDF"/>
    <w:rPr>
      <w:rFonts w:ascii="Times New Roman" w:eastAsia="Times New Roman" w:hAnsi="Times New Roman" w:cs="Times New Roman"/>
      <w:b/>
      <w:bCs/>
      <w:kern w:val="36"/>
      <w:sz w:val="48"/>
      <w:szCs w:val="48"/>
    </w:rPr>
  </w:style>
  <w:style w:type="character" w:customStyle="1" w:styleId="cit">
    <w:name w:val="cit"/>
    <w:basedOn w:val="DefaultParagraphFont"/>
    <w:rsid w:val="007A0D80"/>
  </w:style>
  <w:style w:type="character" w:styleId="Hyperlink">
    <w:name w:val="Hyperlink"/>
    <w:basedOn w:val="DefaultParagraphFont"/>
    <w:uiPriority w:val="99"/>
    <w:unhideWhenUsed/>
    <w:rsid w:val="007A0D80"/>
    <w:rPr>
      <w:color w:val="0000FF"/>
      <w:u w:val="single"/>
    </w:rPr>
  </w:style>
  <w:style w:type="character" w:customStyle="1" w:styleId="doi">
    <w:name w:val="doi"/>
    <w:basedOn w:val="DefaultParagraphFont"/>
    <w:rsid w:val="007A0D80"/>
  </w:style>
  <w:style w:type="character" w:customStyle="1" w:styleId="fm-citation-ids-label">
    <w:name w:val="fm-citation-ids-label"/>
    <w:basedOn w:val="DefaultParagraphFont"/>
    <w:rsid w:val="007A0D80"/>
  </w:style>
  <w:style w:type="character" w:customStyle="1" w:styleId="comp">
    <w:name w:val="comp"/>
    <w:basedOn w:val="DefaultParagraphFont"/>
    <w:rsid w:val="00A14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3D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BC"/>
  </w:style>
  <w:style w:type="paragraph" w:styleId="Footer">
    <w:name w:val="footer"/>
    <w:basedOn w:val="Normal"/>
    <w:link w:val="FooterChar"/>
    <w:uiPriority w:val="99"/>
    <w:unhideWhenUsed/>
    <w:rsid w:val="00E92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BC"/>
  </w:style>
  <w:style w:type="character" w:customStyle="1" w:styleId="Heading1Char">
    <w:name w:val="Heading 1 Char"/>
    <w:basedOn w:val="DefaultParagraphFont"/>
    <w:link w:val="Heading1"/>
    <w:uiPriority w:val="9"/>
    <w:rsid w:val="007C3DDF"/>
    <w:rPr>
      <w:rFonts w:ascii="Times New Roman" w:eastAsia="Times New Roman" w:hAnsi="Times New Roman" w:cs="Times New Roman"/>
      <w:b/>
      <w:bCs/>
      <w:kern w:val="36"/>
      <w:sz w:val="48"/>
      <w:szCs w:val="48"/>
    </w:rPr>
  </w:style>
  <w:style w:type="character" w:customStyle="1" w:styleId="cit">
    <w:name w:val="cit"/>
    <w:basedOn w:val="DefaultParagraphFont"/>
    <w:rsid w:val="007A0D80"/>
  </w:style>
  <w:style w:type="character" w:styleId="Hyperlink">
    <w:name w:val="Hyperlink"/>
    <w:basedOn w:val="DefaultParagraphFont"/>
    <w:uiPriority w:val="99"/>
    <w:unhideWhenUsed/>
    <w:rsid w:val="007A0D80"/>
    <w:rPr>
      <w:color w:val="0000FF"/>
      <w:u w:val="single"/>
    </w:rPr>
  </w:style>
  <w:style w:type="character" w:customStyle="1" w:styleId="doi">
    <w:name w:val="doi"/>
    <w:basedOn w:val="DefaultParagraphFont"/>
    <w:rsid w:val="007A0D80"/>
  </w:style>
  <w:style w:type="character" w:customStyle="1" w:styleId="fm-citation-ids-label">
    <w:name w:val="fm-citation-ids-label"/>
    <w:basedOn w:val="DefaultParagraphFont"/>
    <w:rsid w:val="007A0D80"/>
  </w:style>
  <w:style w:type="character" w:customStyle="1" w:styleId="comp">
    <w:name w:val="comp"/>
    <w:basedOn w:val="DefaultParagraphFont"/>
    <w:rsid w:val="00A14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61719">
      <w:bodyDiv w:val="1"/>
      <w:marLeft w:val="0"/>
      <w:marRight w:val="0"/>
      <w:marTop w:val="0"/>
      <w:marBottom w:val="0"/>
      <w:divBdr>
        <w:top w:val="none" w:sz="0" w:space="0" w:color="auto"/>
        <w:left w:val="none" w:sz="0" w:space="0" w:color="auto"/>
        <w:bottom w:val="none" w:sz="0" w:space="0" w:color="auto"/>
        <w:right w:val="none" w:sz="0" w:space="0" w:color="auto"/>
      </w:divBdr>
      <w:divsChild>
        <w:div w:id="574052813">
          <w:marLeft w:val="0"/>
          <w:marRight w:val="0"/>
          <w:marTop w:val="0"/>
          <w:marBottom w:val="0"/>
          <w:divBdr>
            <w:top w:val="none" w:sz="0" w:space="0" w:color="auto"/>
            <w:left w:val="none" w:sz="0" w:space="0" w:color="auto"/>
            <w:bottom w:val="none" w:sz="0" w:space="0" w:color="auto"/>
            <w:right w:val="none" w:sz="0" w:space="0" w:color="auto"/>
          </w:divBdr>
          <w:divsChild>
            <w:div w:id="1126393030">
              <w:marLeft w:val="0"/>
              <w:marRight w:val="0"/>
              <w:marTop w:val="0"/>
              <w:marBottom w:val="0"/>
              <w:divBdr>
                <w:top w:val="none" w:sz="0" w:space="0" w:color="auto"/>
                <w:left w:val="none" w:sz="0" w:space="0" w:color="auto"/>
                <w:bottom w:val="none" w:sz="0" w:space="0" w:color="auto"/>
                <w:right w:val="none" w:sz="0" w:space="0" w:color="auto"/>
              </w:divBdr>
              <w:divsChild>
                <w:div w:id="787898193">
                  <w:marLeft w:val="0"/>
                  <w:marRight w:val="0"/>
                  <w:marTop w:val="0"/>
                  <w:marBottom w:val="0"/>
                  <w:divBdr>
                    <w:top w:val="none" w:sz="0" w:space="0" w:color="auto"/>
                    <w:left w:val="none" w:sz="0" w:space="0" w:color="auto"/>
                    <w:bottom w:val="none" w:sz="0" w:space="0" w:color="auto"/>
                    <w:right w:val="none" w:sz="0" w:space="0" w:color="auto"/>
                  </w:divBdr>
                  <w:divsChild>
                    <w:div w:id="1843665456">
                      <w:marLeft w:val="0"/>
                      <w:marRight w:val="0"/>
                      <w:marTop w:val="0"/>
                      <w:marBottom w:val="0"/>
                      <w:divBdr>
                        <w:top w:val="none" w:sz="0" w:space="0" w:color="auto"/>
                        <w:left w:val="none" w:sz="0" w:space="0" w:color="auto"/>
                        <w:bottom w:val="none" w:sz="0" w:space="0" w:color="auto"/>
                        <w:right w:val="none" w:sz="0" w:space="0" w:color="auto"/>
                      </w:divBdr>
                      <w:divsChild>
                        <w:div w:id="576287480">
                          <w:marLeft w:val="0"/>
                          <w:marRight w:val="0"/>
                          <w:marTop w:val="0"/>
                          <w:marBottom w:val="0"/>
                          <w:divBdr>
                            <w:top w:val="none" w:sz="0" w:space="0" w:color="auto"/>
                            <w:left w:val="none" w:sz="0" w:space="0" w:color="auto"/>
                            <w:bottom w:val="none" w:sz="0" w:space="0" w:color="auto"/>
                            <w:right w:val="none" w:sz="0" w:space="0" w:color="auto"/>
                          </w:divBdr>
                        </w:div>
                        <w:div w:id="9786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3432">
                  <w:marLeft w:val="0"/>
                  <w:marRight w:val="0"/>
                  <w:marTop w:val="0"/>
                  <w:marBottom w:val="0"/>
                  <w:divBdr>
                    <w:top w:val="none" w:sz="0" w:space="0" w:color="auto"/>
                    <w:left w:val="none" w:sz="0" w:space="0" w:color="auto"/>
                    <w:bottom w:val="none" w:sz="0" w:space="0" w:color="auto"/>
                    <w:right w:val="none" w:sz="0" w:space="0" w:color="auto"/>
                  </w:divBdr>
                  <w:divsChild>
                    <w:div w:id="1096948759">
                      <w:marLeft w:val="0"/>
                      <w:marRight w:val="0"/>
                      <w:marTop w:val="0"/>
                      <w:marBottom w:val="0"/>
                      <w:divBdr>
                        <w:top w:val="none" w:sz="0" w:space="0" w:color="auto"/>
                        <w:left w:val="none" w:sz="0" w:space="0" w:color="auto"/>
                        <w:bottom w:val="none" w:sz="0" w:space="0" w:color="auto"/>
                        <w:right w:val="none" w:sz="0" w:space="0" w:color="auto"/>
                      </w:divBdr>
                      <w:divsChild>
                        <w:div w:id="1416517983">
                          <w:marLeft w:val="0"/>
                          <w:marRight w:val="0"/>
                          <w:marTop w:val="0"/>
                          <w:marBottom w:val="0"/>
                          <w:divBdr>
                            <w:top w:val="none" w:sz="0" w:space="0" w:color="auto"/>
                            <w:left w:val="none" w:sz="0" w:space="0" w:color="auto"/>
                            <w:bottom w:val="none" w:sz="0" w:space="0" w:color="auto"/>
                            <w:right w:val="none" w:sz="0" w:space="0" w:color="auto"/>
                          </w:divBdr>
                        </w:div>
                        <w:div w:id="92650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837319">
          <w:marLeft w:val="0"/>
          <w:marRight w:val="0"/>
          <w:marTop w:val="0"/>
          <w:marBottom w:val="0"/>
          <w:divBdr>
            <w:top w:val="none" w:sz="0" w:space="0" w:color="auto"/>
            <w:left w:val="none" w:sz="0" w:space="0" w:color="auto"/>
            <w:bottom w:val="none" w:sz="0" w:space="0" w:color="auto"/>
            <w:right w:val="none" w:sz="0" w:space="0" w:color="auto"/>
          </w:divBdr>
          <w:divsChild>
            <w:div w:id="7283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9536">
      <w:bodyDiv w:val="1"/>
      <w:marLeft w:val="0"/>
      <w:marRight w:val="0"/>
      <w:marTop w:val="0"/>
      <w:marBottom w:val="0"/>
      <w:divBdr>
        <w:top w:val="none" w:sz="0" w:space="0" w:color="auto"/>
        <w:left w:val="none" w:sz="0" w:space="0" w:color="auto"/>
        <w:bottom w:val="none" w:sz="0" w:space="0" w:color="auto"/>
        <w:right w:val="none" w:sz="0" w:space="0" w:color="auto"/>
      </w:divBdr>
    </w:div>
    <w:div w:id="21143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Wiseman%20M%5BAuthor%5D&amp;cauthor=true&amp;cauthor_uid=2119719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cbi.nlm.nih.gov/pubmed/?term=Gesme%20D%5BAuthor%5D&amp;cauthor=true&amp;cauthor_uid=21197191"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ursing-theory.org/theories-and-models/Lewin-Change-Theory.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hebalancecareers.com/ways-to-manage-conflict-2276062" TargetMode="External"/><Relationship Id="rId4" Type="http://schemas.openxmlformats.org/officeDocument/2006/relationships/webSettings" Target="webSettings.xml"/><Relationship Id="rId9" Type="http://schemas.openxmlformats.org/officeDocument/2006/relationships/hyperlink" Target="https://dx.doi.org/10.1200%2FJOP.00008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2018-10-12T13:41:00Z</dcterms:created>
  <dcterms:modified xsi:type="dcterms:W3CDTF">2018-10-12T18:05:00Z</dcterms:modified>
</cp:coreProperties>
</file>